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8"/>
          <w:szCs w:val="20"/>
        </w:rPr>
      </w:pPr>
      <w:r>
        <w:rPr>
          <w:rFonts w:eastAsia="Times New Roman" w:cs="Arial" w:ascii="Arial" w:hAnsi="Arial"/>
          <w:b/>
          <w:sz w:val="28"/>
          <w:szCs w:val="20"/>
        </w:rPr>
        <w:t>Scheda informativa n. 14.2</w:t>
      </w:r>
    </w:p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32"/>
          <w:szCs w:val="20"/>
        </w:rPr>
      </w:pPr>
      <w:r>
        <w:rPr>
          <w:rFonts w:eastAsia="Times New Roman" w:cs="Arial" w:ascii="Arial" w:hAnsi="Arial"/>
          <w:b/>
          <w:sz w:val="32"/>
          <w:szCs w:val="20"/>
        </w:rPr>
        <w:t>Installazione di impianti provvisori elettrici in occasione di straordinarie illuminazioni pubbliche, quali festività civili e religiose</w:t>
      </w:r>
    </w:p>
    <w:p>
      <w:pPr>
        <w:pStyle w:val="Normal"/>
        <w:widowControl w:val="false"/>
        <w:spacing w:lineRule="auto" w:line="240" w:before="240" w:after="24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 xml:space="preserve">TIPOLOGIE DI PRATICHE: </w:t>
      </w:r>
    </w:p>
    <w:p>
      <w:pPr>
        <w:pStyle w:val="Normal"/>
        <w:widowControl w:val="false"/>
        <w:spacing w:lineRule="auto" w:line="240" w:before="120" w:after="120"/>
        <w:jc w:val="both"/>
        <w:rPr/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 xml:space="preserve">Le tipologie </w:t>
      </w:r>
      <w:r>
        <w:rPr>
          <w:rFonts w:eastAsia="Times New Roman" w:cs="Arial" w:ascii="Arial" w:hAnsi="Arial"/>
          <w:sz w:val="20"/>
          <w:szCs w:val="20"/>
          <w:lang w:eastAsia="it-IT"/>
        </w:rPr>
        <w:t>di pratiche in cui si articola l’attività di Installazione di impianti provvisori elettrici</w:t>
      </w:r>
      <w:r>
        <w:rPr>
          <w:rFonts w:eastAsia="Times New Roman" w:cs="Arial" w:ascii="Arial" w:hAnsi="Arial"/>
          <w:sz w:val="20"/>
          <w:szCs w:val="20"/>
        </w:rPr>
        <w:t xml:space="preserve"> </w:t>
      </w:r>
      <w:r>
        <w:rPr>
          <w:rFonts w:eastAsia="Times New Roman" w:cs="Arial" w:ascii="Arial" w:hAnsi="Arial"/>
          <w:sz w:val="20"/>
          <w:szCs w:val="20"/>
          <w:lang w:eastAsia="it-IT"/>
        </w:rPr>
        <w:t>in occasione di festività civili, religiose, etc.), sono le seguenti:</w:t>
      </w:r>
    </w:p>
    <w:p>
      <w:pPr>
        <w:pStyle w:val="Normal"/>
        <w:widowControl w:val="false"/>
        <w:numPr>
          <w:ilvl w:val="0"/>
          <w:numId w:val="4"/>
        </w:numPr>
        <w:suppressAutoHyphens w:val="false"/>
        <w:spacing w:lineRule="auto" w:line="240" w:before="120" w:after="120"/>
        <w:ind w:left="720" w:hanging="35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avvio dell’attività;</w:t>
      </w:r>
    </w:p>
    <w:p>
      <w:pPr>
        <w:pStyle w:val="Normal"/>
        <w:widowControl w:val="false"/>
        <w:spacing w:lineRule="auto" w:line="240" w:before="240" w:after="240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  <w:t>DESTINATARI</w:t>
      </w:r>
    </w:p>
    <w:p>
      <w:pPr>
        <w:pStyle w:val="Normal"/>
        <w:widowControl w:val="false"/>
        <w:spacing w:lineRule="auto" w:line="240" w:before="120" w:after="120"/>
        <w:jc w:val="both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Imprese o privati che intendono avviare l’attività di installazione di impianti provvisori elettrici in occasione di straordinarie illuminazioni pubbliche, quali festività civili e religiose.</w:t>
      </w:r>
    </w:p>
    <w:p>
      <w:pPr>
        <w:pStyle w:val="Normal"/>
        <w:widowControl w:val="false"/>
        <w:spacing w:lineRule="auto" w:line="240" w:before="240" w:after="240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  <w:t>DESCRIZIONE</w:t>
      </w:r>
    </w:p>
    <w:p>
      <w:pPr>
        <w:pStyle w:val="Normal"/>
        <w:spacing w:lineRule="auto" w:line="240" w:before="120" w:after="120"/>
        <w:jc w:val="both"/>
        <w:rPr/>
      </w:pPr>
      <w:r>
        <w:rPr>
          <w:rFonts w:eastAsia="Times New Roman" w:cs="Arial" w:ascii="Arial" w:hAnsi="Arial"/>
          <w:sz w:val="20"/>
          <w:szCs w:val="20"/>
          <w:lang w:eastAsia="it-IT"/>
        </w:rPr>
        <w:t>Per impianti provvisori elettrici per straordinarie illuminazioni pubbliche, s’intende l’installazione delle c.d. “luminarie” in occasioni di festività civili o religiose o altri eventi.</w:t>
      </w:r>
    </w:p>
    <w:p>
      <w:pPr>
        <w:pStyle w:val="Normal"/>
        <w:widowControl w:val="false"/>
        <w:spacing w:lineRule="auto" w:line="240" w:before="240" w:after="240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NORMATIVA DI RIFERIMENTO</w:t>
      </w:r>
    </w:p>
    <w:p>
      <w:pPr>
        <w:pStyle w:val="Normal"/>
        <w:numPr>
          <w:ilvl w:val="0"/>
          <w:numId w:val="6"/>
        </w:numPr>
        <w:suppressAutoHyphens w:val="false"/>
        <w:autoSpaceDE w:val="false"/>
        <w:spacing w:lineRule="auto" w:line="240" w:before="120" w:after="120"/>
        <w:ind w:left="720" w:hanging="357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Testo Unico delle Leggi di Pubblica Sicurezza (R.D. n. 773/1931)</w:t>
      </w:r>
      <w:bookmarkStart w:id="0" w:name="inizio"/>
      <w:bookmarkEnd w:id="0"/>
      <w:r>
        <w:rPr>
          <w:rFonts w:eastAsia="Times New Roman" w:cs="Arial" w:ascii="Arial" w:hAnsi="Arial"/>
          <w:bCs/>
          <w:sz w:val="20"/>
          <w:szCs w:val="20"/>
          <w:lang w:eastAsia="it-IT"/>
        </w:rPr>
        <w:t>;</w:t>
      </w:r>
    </w:p>
    <w:p>
      <w:pPr>
        <w:pStyle w:val="Normal"/>
        <w:numPr>
          <w:ilvl w:val="0"/>
          <w:numId w:val="6"/>
        </w:numPr>
        <w:suppressAutoHyphens w:val="false"/>
        <w:autoSpaceDE w:val="false"/>
        <w:spacing w:lineRule="auto" w:line="240" w:before="120" w:after="120"/>
        <w:ind w:left="720" w:hanging="357"/>
        <w:rPr/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Regolamento per l’esecuzione del T.U.L.P.S. (R.D. n. 635/1940);</w:t>
      </w:r>
    </w:p>
    <w:p>
      <w:pPr>
        <w:pStyle w:val="Normal"/>
        <w:numPr>
          <w:ilvl w:val="0"/>
          <w:numId w:val="3"/>
        </w:numPr>
        <w:shd w:fill="FFFFFF" w:val="clear"/>
        <w:spacing w:lineRule="auto" w:line="240" w:before="120" w:after="120"/>
        <w:ind w:left="720" w:hanging="35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Legge n. 241/1990; D.lgs. n. 126/2016; D.lgs. n. 222/2016;</w:t>
      </w:r>
    </w:p>
    <w:p>
      <w:pPr>
        <w:pStyle w:val="Normal"/>
        <w:numPr>
          <w:ilvl w:val="0"/>
          <w:numId w:val="3"/>
        </w:numPr>
        <w:shd w:fill="FFFFFF" w:val="clear"/>
        <w:spacing w:lineRule="auto" w:line="240" w:before="120" w:after="120"/>
        <w:ind w:left="720" w:hanging="357"/>
        <w:jc w:val="both"/>
        <w:rPr/>
      </w:pPr>
      <w:r>
        <w:rPr>
          <w:rFonts w:cs="Arial" w:ascii="Arial" w:hAnsi="Arial"/>
          <w:sz w:val="20"/>
          <w:szCs w:val="20"/>
        </w:rPr>
        <w:t>D.lgs.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n. 159/2011 “</w:t>
      </w:r>
      <w:r>
        <w:rPr>
          <w:rFonts w:eastAsia="Times New Roman" w:cs="Arial" w:ascii="Arial" w:hAnsi="Arial"/>
          <w:i/>
          <w:sz w:val="20"/>
          <w:szCs w:val="20"/>
          <w:lang w:eastAsia="it-IT"/>
        </w:rPr>
        <w:t>Codice delle leggi antimafia e delle misure di prevenzione…</w:t>
      </w:r>
      <w:r>
        <w:rPr>
          <w:rFonts w:eastAsia="Times New Roman" w:cs="Arial" w:ascii="Arial" w:hAnsi="Arial"/>
          <w:sz w:val="20"/>
          <w:szCs w:val="20"/>
          <w:lang w:eastAsia="it-IT"/>
        </w:rPr>
        <w:t>”.</w:t>
      </w:r>
    </w:p>
    <w:p>
      <w:pPr>
        <w:pStyle w:val="Normal"/>
        <w:widowControl w:val="false"/>
        <w:shd w:fill="FFFFFF" w:val="clear"/>
        <w:spacing w:lineRule="auto" w:line="240" w:before="240" w:after="240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ADEMPIMENTI E MODALITÀ DI AVVIO DELL’ATTIVITÀ</w:t>
      </w:r>
    </w:p>
    <w:p>
      <w:pPr>
        <w:pStyle w:val="Normal"/>
        <w:shd w:fill="FFFFFF" w:val="clear"/>
        <w:suppressAutoHyphens w:val="false"/>
        <w:spacing w:lineRule="auto" w:line="240" w:before="120" w:after="120"/>
        <w:rPr/>
      </w:pPr>
      <w:r>
        <w:rPr>
          <w:rFonts w:eastAsia="Times New Roman" w:cs="Arial" w:ascii="Arial" w:hAnsi="Arial"/>
          <w:sz w:val="20"/>
          <w:szCs w:val="20"/>
          <w:lang w:eastAsia="it-IT"/>
        </w:rPr>
        <w:t xml:space="preserve">Preliminarmente </w:t>
      </w:r>
      <w:r>
        <w:rPr>
          <w:rFonts w:eastAsia="Times New Roman" w:cs="Arial" w:ascii="Arial" w:hAnsi="Arial"/>
          <w:b/>
          <w:sz w:val="20"/>
          <w:szCs w:val="20"/>
          <w:lang w:eastAsia="it-IT"/>
        </w:rPr>
        <w:t>è necessario</w:t>
      </w:r>
      <w:r>
        <w:rPr>
          <w:rFonts w:eastAsia="Times New Roman" w:cs="Arial" w:ascii="Arial" w:hAnsi="Arial"/>
          <w:sz w:val="20"/>
          <w:szCs w:val="20"/>
          <w:lang w:eastAsia="it-IT"/>
        </w:rPr>
        <w:t>:</w:t>
      </w:r>
    </w:p>
    <w:p>
      <w:pPr>
        <w:pStyle w:val="Normal"/>
        <w:numPr>
          <w:ilvl w:val="0"/>
          <w:numId w:val="1"/>
        </w:numPr>
        <w:shd w:fill="FFFFFF" w:val="clear"/>
        <w:suppressAutoHyphens w:val="false"/>
        <w:spacing w:lineRule="auto" w:line="240" w:before="120" w:after="120"/>
        <w:ind w:left="720" w:hanging="357"/>
        <w:rPr/>
      </w:pP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costituire una impresa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in forma individuale o societaria o cooperativa;</w:t>
      </w:r>
    </w:p>
    <w:p>
      <w:pPr>
        <w:pStyle w:val="Normal"/>
        <w:numPr>
          <w:ilvl w:val="0"/>
          <w:numId w:val="1"/>
        </w:numPr>
        <w:shd w:fill="FFFFFF" w:val="clear"/>
        <w:suppressAutoHyphens w:val="false"/>
        <w:spacing w:lineRule="auto" w:line="240" w:before="120" w:after="120"/>
        <w:ind w:left="720" w:hanging="35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procedere all’iscrizione all’Albo delle Imprese.</w:t>
      </w:r>
      <w:r>
        <w:rPr>
          <w:rStyle w:val="FootnoteCharacters"/>
          <w:rStyle w:val="FootnoteAnchor"/>
          <w:rFonts w:eastAsia="Times New Roman" w:cs="Arial" w:ascii="Arial" w:hAnsi="Arial"/>
          <w:b/>
          <w:sz w:val="20"/>
          <w:szCs w:val="20"/>
          <w:lang w:eastAsia="it-IT"/>
        </w:rPr>
        <w:footnoteReference w:id="2"/>
      </w:r>
    </w:p>
    <w:p>
      <w:pPr>
        <w:pStyle w:val="Normal"/>
        <w:shd w:fill="FFFFFF" w:val="clear"/>
        <w:spacing w:lineRule="auto" w:line="240" w:before="120" w:after="120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Ai sensi dell’art. 2, commi 2 e 4 del D.lgs. n. 126/2016:</w:t>
      </w:r>
    </w:p>
    <w:p>
      <w:pPr>
        <w:pStyle w:val="Normal"/>
        <w:numPr>
          <w:ilvl w:val="0"/>
          <w:numId w:val="5"/>
        </w:numPr>
        <w:shd w:fill="FFFFFF" w:val="clear"/>
        <w:spacing w:lineRule="auto" w:line="240" w:before="120" w:after="12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l</w:t>
      </w:r>
      <w:r>
        <w:rPr>
          <w:rFonts w:eastAsia="Times New Roman" w:cs="Arial" w:ascii="Arial" w:hAnsi="Arial"/>
          <w:sz w:val="20"/>
          <w:szCs w:val="20"/>
          <w:lang w:eastAsia="it-IT"/>
        </w:rPr>
        <w:t>’avvio dell’attività e le vicende successive sono subordinate alla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compilazione 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degli specifici moduli, 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disponibili </w:t>
      </w: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 xml:space="preserve">sul sito istituzionale del Comune, da presentare esclusivamente in modalità telematica allo Sportello Unico 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>del Comune stesso;</w:t>
      </w:r>
    </w:p>
    <w:p>
      <w:pPr>
        <w:pStyle w:val="Normal"/>
        <w:numPr>
          <w:ilvl w:val="0"/>
          <w:numId w:val="5"/>
        </w:numPr>
        <w:shd w:fill="FFFFFF" w:val="clear"/>
        <w:spacing w:lineRule="auto" w:line="240" w:before="120" w:after="12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il Comune può chiedere agli interessati informazioni/documenti </w:t>
      </w: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solo in caso di mancata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</w:t>
      </w: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corrispondenza del contenuto della Comunicazione e relativi allegati, ai moduli ed elenchi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pubblicati sul proprio sito istituzionale.</w:t>
      </w:r>
    </w:p>
    <w:p>
      <w:pPr>
        <w:pStyle w:val="Normal"/>
        <w:widowControl w:val="false"/>
        <w:suppressAutoHyphens w:val="false"/>
        <w:spacing w:lineRule="auto" w:line="240" w:before="120" w:after="120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Qualora la Comunicazione difetti degli elementi essenziali non potrà essere esaminata e, pertanto, sarà dichiarata irricevibile e archiviata.</w:t>
      </w:r>
    </w:p>
    <w:p>
      <w:pPr>
        <w:pStyle w:val="Normal"/>
        <w:widowControl w:val="false"/>
        <w:spacing w:lineRule="auto" w:line="240" w:before="240" w:after="240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REGIME AMMINISTRATIVO E CONCENTRAZIONE DEI REGIMI AMMINISTRATIVI</w:t>
      </w:r>
    </w:p>
    <w:p>
      <w:pPr>
        <w:pStyle w:val="Normal"/>
        <w:widowControl w:val="false"/>
        <w:spacing w:lineRule="auto" w:line="240" w:before="120" w:after="120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Ai sensi dell’art. 19bis, L. n. 241/1990, la pratica deve essere presentata allo Sportello Unico del Comune, anche in caso di procedimenti connessi di competenza di altre amministrazioni o diverse articolazioni interne dell’amministrazione ricevente.</w:t>
      </w:r>
    </w:p>
    <w:p>
      <w:pPr>
        <w:pStyle w:val="Normal"/>
        <w:widowControl w:val="false"/>
        <w:spacing w:lineRule="auto" w:line="240" w:before="120" w:after="240"/>
        <w:jc w:val="both"/>
        <w:rPr/>
      </w:pPr>
      <w:r>
        <w:rPr/>
        <w:t>Per ciascuna tipologia di attività di cui alla presente Scheda informativa, la Tabella seguente illustra il regime amministrativo cui è soggetta, il regime amministrativo applicabile in caso di concentrazione con altre attività e i riferimenti normativi:</w:t>
      </w:r>
    </w:p>
    <w:tbl>
      <w:tblPr>
        <w:tblW w:w="98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39"/>
        <w:gridCol w:w="2327"/>
        <w:gridCol w:w="1961"/>
        <w:gridCol w:w="2520"/>
        <w:gridCol w:w="2616"/>
      </w:tblGrid>
      <w:tr>
        <w:trPr/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napToGrid w:val="false"/>
              <w:spacing w:lineRule="auto" w:line="240" w:before="120" w:after="12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val="en-US"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ATTIVITÀ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REGIME AMMINISTRATIVO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val="en-US"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CONCENTRAZIONE DEI REGIMI AMMINISTRATIVI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RIFERIMENTI NORMATIVI</w:t>
            </w:r>
          </w:p>
        </w:tc>
      </w:tr>
      <w:tr>
        <w:trPr>
          <w:trHeight w:val="218" w:hRule="atLeast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val="en-US"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97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both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Avvio dell’attività</w:t>
            </w:r>
            <w:r>
              <w:rPr>
                <w:rFonts w:eastAsia="Times New Roman" w:cs="Arial" w:ascii="Arial" w:hAnsi="Arial"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both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Comunicazione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/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it-IT"/>
              </w:rPr>
              <w:t>È necessario prima dell’avvio dell’attività, trasmettere al Comune la certificazione degli impianti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autoSpaceDE w:val="false"/>
              <w:spacing w:lineRule="auto" w:line="240" w:before="120" w:after="120"/>
              <w:rPr>
                <w:rFonts w:ascii="Arial" w:hAnsi="Arial"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it-IT"/>
              </w:rPr>
              <w:t>Regolamento per l’esecuzione del Testo Unico delle Leggi di Pubblica Sicurezza di cui al R.D. n. 635/1940, art. 110</w:t>
            </w:r>
          </w:p>
        </w:tc>
      </w:tr>
    </w:tbl>
    <w:p>
      <w:pPr>
        <w:pStyle w:val="Normal"/>
        <w:shd w:fill="FFFFFF" w:val="clear"/>
        <w:suppressAutoHyphens w:val="false"/>
        <w:spacing w:lineRule="auto" w:line="240" w:before="240" w:after="240"/>
        <w:ind w:right="-142" w:hanging="0"/>
        <w:jc w:val="both"/>
        <w:rPr/>
      </w:pP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Alla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</w:t>
      </w: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presentazione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</w:t>
      </w: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della Comunicazione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</w:t>
      </w: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è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</w:t>
      </w: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rilasciata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</w:t>
      </w: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immediatamente ricevuta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, </w:t>
      </w:r>
      <w:r>
        <w:rPr>
          <w:rFonts w:eastAsia="Times New Roman" w:cs="Arial" w:ascii="Arial" w:hAnsi="Arial"/>
          <w:bCs/>
          <w:sz w:val="20"/>
          <w:szCs w:val="20"/>
          <w:highlight w:val="lightGray"/>
          <w:lang w:eastAsia="it-IT"/>
        </w:rPr>
        <w:t>anche in via telematica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>, la cui protocollazione coincide con l’effettiva presentazione da parte dell’interessato</w:t>
      </w:r>
      <w:r>
        <w:rPr>
          <w:rStyle w:val="FootnoteAnchor"/>
          <w:rFonts w:eastAsia="Times New Roman" w:cs="Arial" w:ascii="Arial" w:hAnsi="Arial"/>
          <w:bCs/>
          <w:sz w:val="20"/>
          <w:szCs w:val="20"/>
          <w:vertAlign w:val="superscript"/>
          <w:lang w:eastAsia="it-IT"/>
        </w:rPr>
        <w:footnoteReference w:id="3"/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>, con indicazione dei termini entro cui l’Amministrazione è tenuta, ove previsto, a rispondere o entro cui il silenzio equivale ad accoglimento dell’istanza. In caso di pratiche presentate ad ufficio diverso da quello competente, i termini dei controlli ex artt. 19, c.3, L. n. 241/90, decorrono dal loro ricevimento da parte dell’ufficio competente (art. 18-bis, L. n. 241/90).</w:t>
      </w:r>
    </w:p>
    <w:p>
      <w:pPr>
        <w:pStyle w:val="Normal"/>
        <w:widowControl w:val="false"/>
        <w:suppressAutoHyphens w:val="false"/>
        <w:spacing w:lineRule="auto" w:line="240" w:before="240" w:after="240"/>
        <w:jc w:val="both"/>
        <w:rPr>
          <w:rFonts w:cs="Arial"/>
        </w:rPr>
      </w:pPr>
      <w:r>
        <w:rPr>
          <w:rFonts w:eastAsia="Arial" w:cs="Arial" w:ascii="Arial" w:hAnsi="Arial"/>
          <w:b/>
          <w:sz w:val="20"/>
          <w:szCs w:val="20"/>
          <w:lang w:eastAsia="it-IT"/>
        </w:rPr>
        <w:t>Elenco stati, qualità personali, fatti oggetto di dichiarazione sostitutiva necessari a corredo della Comunicazione, con indicazione delle norme che ne prevedono la produzione</w:t>
      </w:r>
      <w:r>
        <w:rPr>
          <w:rFonts w:eastAsia="Arial" w:cs="Arial" w:ascii="Arial" w:hAnsi="Arial"/>
          <w:sz w:val="20"/>
          <w:szCs w:val="20"/>
          <w:lang w:eastAsia="it-IT"/>
        </w:rPr>
        <w:t xml:space="preserve"> (a</w:t>
      </w:r>
      <w:r>
        <w:rPr>
          <w:rFonts w:eastAsia="Arial" w:cs="Arial" w:ascii="Arial" w:hAnsi="Arial"/>
          <w:bCs/>
          <w:sz w:val="20"/>
          <w:szCs w:val="20"/>
          <w:lang w:eastAsia="it-IT"/>
        </w:rPr>
        <w:t>rt. 2,.c2, D.lgs. n. 126/2016</w:t>
      </w:r>
      <w:r>
        <w:rPr>
          <w:rFonts w:eastAsia="Arial" w:cs="Arial" w:ascii="Arial" w:hAnsi="Arial"/>
          <w:sz w:val="20"/>
          <w:szCs w:val="20"/>
          <w:lang w:eastAsia="it-IT"/>
        </w:rPr>
        <w:t xml:space="preserve">). </w:t>
      </w:r>
    </w:p>
    <w:tbl>
      <w:tblPr>
        <w:tblW w:w="98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570"/>
        <w:gridCol w:w="4293"/>
      </w:tblGrid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  <w:t>Stati, qualità personali e fatti oggetto di dichiarazione sostitutiva necessari a corredo della Comunicazione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  <w:t>Norme che ne prevedono la produzione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Dati identificativi dell’impresa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7371" w:leader="none"/>
                <w:tab w:val="left" w:pos="9639" w:leader="none"/>
              </w:tabs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 xml:space="preserve">Art. 2195 codice 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Qualità rivestita dal titolare dell’impresa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uppressAutoHyphens w:val="false"/>
              <w:spacing w:lineRule="auto" w:line="240" w:before="120" w:after="120"/>
              <w:outlineLvl w:val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Art. 2082 codice civile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it-IT"/>
              </w:rPr>
              <w:t>Soggetto incaricato dell'installazione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uppressAutoHyphens w:val="false"/>
              <w:spacing w:lineRule="auto" w:line="240" w:before="120" w:after="120"/>
              <w:outlineLvl w:val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Art. 110, regolamento per l’esecuzione del tulps (r.d. n. 635/1940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Denominazione della manifestazione, festività o evento</w:t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Art. 110, regolamento per l’esecuzione del tulps (r.d. n. 635/1940)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Collocazione e tipologia di luminarie, date previste per l'installazione, l’accensione e lo smontaggio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Art. 110, regolamento per l’esecuzione del tulps (r.d. n. 635/1940)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/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Assenza cause di divieto, decadenza o sospensione di cui al libro primo, titolo primo, D.lgs. N.159/2011 (Legge antimafia)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it-IT"/>
              </w:rPr>
              <w:t>Art. 67, c.1, lett. A), D.lgs. N. 159/2011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spacing w:lineRule="auto" w:line="240" w:before="120" w:after="120"/>
              <w:ind w:left="0" w:hanging="0"/>
              <w:contextualSpacing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Insussistenza condizioni previste dagli art. 11 e 92 del tulps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Artt. 11 e 92, tulps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120" w:after="120"/>
              <w:rPr>
                <w:rFonts w:ascii="Arial" w:hAnsi="Arial" w:eastAsia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Conformità attrezzature alle prescrizioni delle vigenti normative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/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Art. 110 del regolamento per l’esecuzione del tulps e normative di sicurezza settoriali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Rispetto norme sulla sicurezza nei luoghi di lavoro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D.lgs. N. 81/2008</w:t>
            </w:r>
          </w:p>
        </w:tc>
      </w:tr>
      <w:tr>
        <w:trPr>
          <w:trHeight w:val="234" w:hRule="atLeast"/>
        </w:trPr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Prestazione del consenso al trattamento dei dati personali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it-IT"/>
              </w:rPr>
              <w:t>Art. 13, d.lgs. N. 196/2003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iCs/>
                <w:sz w:val="20"/>
                <w:szCs w:val="20"/>
                <w:lang w:eastAsia="it-IT"/>
              </w:rPr>
              <w:t xml:space="preserve">Dichiarazione 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  <w:lang w:eastAsia="it-IT"/>
              </w:rPr>
              <w:t>rispetto disposizioni D.P.R. n. 445/2000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Arial" w:ascii="Arial" w:hAnsi="Arial"/>
                <w:iCs/>
                <w:sz w:val="20"/>
                <w:szCs w:val="20"/>
                <w:lang w:val="en-US" w:eastAsia="it-IT"/>
              </w:rPr>
              <w:t>Art. 71 e ss., DPR n. 445/2000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Dichiarazioni persone tenute (amministratori, soci) – solo per società, associazioni, organismi collettivi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Artt. 67 e 85, d.lgs. N. 159/2011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120"/>
              <w:rPr/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Impegno ad allegare copia della documentazione richiesta dalla modulistica comunale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val="en-US" w:eastAsia="it-IT"/>
              </w:rPr>
            </w:pPr>
            <w:r>
              <w:rPr>
                <w:rFonts w:eastAsia="Arial" w:cs="Arial" w:ascii="Arial" w:hAnsi="Arial"/>
                <w:sz w:val="20"/>
                <w:szCs w:val="20"/>
                <w:lang w:val="en-US" w:eastAsia="it-IT"/>
              </w:rPr>
              <w:t>Art. 2, c.2, d.lgs. N. 126/2016</w:t>
            </w:r>
          </w:p>
        </w:tc>
      </w:tr>
    </w:tbl>
    <w:p>
      <w:pPr>
        <w:pStyle w:val="Normal"/>
        <w:suppressAutoHyphens w:val="false"/>
        <w:spacing w:lineRule="auto" w:line="240" w:before="240" w:after="240"/>
        <w:ind w:right="-142" w:hanging="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N.B. Per questa tipologia di attività non sono previste attestazioni/asseverazioni di tecnici abilitati/dichiarazioni di conformità delle Agenzie delle imprese, necessari a corredo della Comunicazione.</w:t>
      </w:r>
    </w:p>
    <w:p>
      <w:pPr>
        <w:pStyle w:val="Normal"/>
        <w:widowControl w:val="false"/>
        <w:shd w:fill="FFFFFF" w:val="clear"/>
        <w:spacing w:lineRule="auto" w:line="240" w:before="240" w:after="240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DOCUMENTAZIONE DA ALLEGARE</w:t>
      </w:r>
      <w:r>
        <w:rPr>
          <w:rStyle w:val="FootnoteAnchor"/>
          <w:rFonts w:eastAsia="Times New Roman" w:cs="Arial" w:ascii="Arial" w:hAnsi="Arial"/>
          <w:sz w:val="20"/>
          <w:szCs w:val="20"/>
          <w:vertAlign w:val="superscript"/>
          <w:lang w:eastAsia="it-IT"/>
        </w:rPr>
        <w:footnoteReference w:id="4"/>
      </w:r>
    </w:p>
    <w:p>
      <w:pPr>
        <w:pStyle w:val="Normal"/>
        <w:widowControl w:val="false"/>
        <w:spacing w:lineRule="auto" w:line="240" w:before="240" w:after="240"/>
        <w:rPr>
          <w:rFonts w:cs="Arial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Documentazione da allegare alla Comunicazione (a pena di irricevibilità):</w:t>
      </w:r>
    </w:p>
    <w:tbl>
      <w:tblPr>
        <w:tblW w:w="98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72"/>
        <w:gridCol w:w="4828"/>
        <w:gridCol w:w="3463"/>
      </w:tblGrid>
      <w:tr>
        <w:trPr/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  <w:t>Allegati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  <w:t>Denominazione allegato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  <w:t>Casi in cui è previsto l’allegato</w:t>
            </w:r>
          </w:p>
        </w:tc>
      </w:tr>
      <w:tr>
        <w:trPr>
          <w:trHeight w:val="437" w:hRule="atLeast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Wingdings" w:cs="Wingdings" w:ascii="Wingdings" w:hAnsi="Wingdings"/>
                <w:sz w:val="24"/>
                <w:szCs w:val="20"/>
                <w:lang w:eastAsia="en-US"/>
              </w:rPr>
              <w:t>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Procura/Delega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Nel caso di procura/delega a presentare la comunicazione</w:t>
            </w:r>
          </w:p>
        </w:tc>
      </w:tr>
      <w:tr>
        <w:trPr/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Wingdings" w:cs="Wingdings" w:ascii="Wingdings" w:hAnsi="Wingdings"/>
                <w:sz w:val="24"/>
                <w:szCs w:val="20"/>
                <w:lang w:eastAsia="en-US"/>
              </w:rPr>
              <w:t>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Copia documento di identità del/i titolare/i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Nel caso in cui la comunicazione non sia sottoscritta in forma digitale e in assenza di procura</w:t>
            </w:r>
          </w:p>
        </w:tc>
      </w:tr>
      <w:tr>
        <w:trPr/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Wingdings" w:cs="Wingdings" w:ascii="Wingdings" w:hAnsi="Wingdings"/>
                <w:sz w:val="24"/>
                <w:szCs w:val="20"/>
                <w:lang w:eastAsia="en-US"/>
              </w:rPr>
              <w:t>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Copia permesso di soggiorno o carta di soggiorno del firmatario (se il permesso scade entro 30 giorni: copia della ricevuta della richiesta di rinnovo)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Nel caso di cittadini extracomunitari</w:t>
            </w:r>
          </w:p>
        </w:tc>
      </w:tr>
      <w:tr>
        <w:trPr/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eastAsia="Wingdings" w:cs="Wingdings" w:ascii="Wingdings" w:hAnsi="Wingdings"/>
                <w:sz w:val="24"/>
                <w:szCs w:val="20"/>
                <w:lang w:eastAsia="en-US"/>
              </w:rPr>
              <w:t>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Dichiarazioni sul possesso dei requisiti da parte degli altri soci (allegato A del modello + copia del documento d’identità)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Sempre, in presenza di soggetti (ad es. soci) diversi dal dichiarante</w:t>
            </w:r>
          </w:p>
        </w:tc>
      </w:tr>
      <w:tr>
        <w:trPr>
          <w:trHeight w:val="394" w:hRule="atLeast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eastAsia="Wingdings" w:cs="Wingdings" w:ascii="Wingdings" w:hAnsi="Wingdings"/>
                <w:sz w:val="24"/>
                <w:szCs w:val="20"/>
                <w:lang w:eastAsia="en-US"/>
              </w:rPr>
              <w:t>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certificazione di conformità degli impianti di cui all'</w:t>
            </w:r>
            <w:r>
              <w:fldChar w:fldCharType="begin"/>
            </w:r>
            <w:r>
              <w:instrText> HYPERLINK "http://www.bosettiegatti.eu/info/norme/statali/2008_0037.htm" \l "07"</w:instrText>
            </w:r>
            <w:r>
              <w:fldChar w:fldCharType="separate"/>
            </w:r>
            <w:r>
              <w:rPr>
                <w:rStyle w:val="InternetLink"/>
                <w:rFonts w:eastAsia="Times New Roman" w:cs="Arial" w:ascii="Arial" w:hAnsi="Arial"/>
                <w:sz w:val="20"/>
                <w:szCs w:val="20"/>
                <w:lang w:eastAsia="it-IT"/>
              </w:rPr>
              <w:t>art. 7 del Decreto del Ministro dello Sviluppo Economico 22 gennaio 2008, n. 37</w:t>
            </w:r>
            <w:r>
              <w:fldChar w:fldCharType="end"/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Sempre</w:t>
            </w:r>
          </w:p>
        </w:tc>
      </w:tr>
    </w:tbl>
    <w:p>
      <w:pPr>
        <w:pStyle w:val="Normal"/>
        <w:widowControl w:val="false"/>
        <w:spacing w:lineRule="auto" w:line="240" w:before="240" w:after="240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Altri allegati (Attestazioni del versamento di oneri, diritti, etc.) - a pena di irricevibilità:</w:t>
      </w:r>
    </w:p>
    <w:tbl>
      <w:tblPr>
        <w:tblW w:w="98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24"/>
        <w:gridCol w:w="4802"/>
        <w:gridCol w:w="3437"/>
      </w:tblGrid>
      <w:tr>
        <w:trPr/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  <w:t>Allegati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  <w:t>Denominazione allegato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  <w:t>Casi in cui è previsto l’allegato</w:t>
            </w:r>
          </w:p>
        </w:tc>
      </w:tr>
      <w:tr>
        <w:trPr>
          <w:trHeight w:val="364" w:hRule="atLeast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Wingdings" w:cs="Wingdings" w:ascii="Wingdings" w:hAnsi="Wingdings"/>
                <w:sz w:val="24"/>
                <w:szCs w:val="20"/>
                <w:lang w:eastAsia="en-US"/>
              </w:rPr>
              <w:t>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Attestazione del versamento di oneri, diritti, etc.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Nella misura e con le modalità indicate sul sito dell’Amministrazione</w:t>
            </w:r>
          </w:p>
        </w:tc>
      </w:tr>
    </w:tbl>
    <w:p>
      <w:pPr>
        <w:pStyle w:val="Normal"/>
        <w:widowControl w:val="false"/>
        <w:shd w:fill="FFFFFF" w:val="clear"/>
        <w:spacing w:lineRule="auto" w:line="240" w:before="240" w:after="240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REQUISITI PER L’AVVIO E L’ESERCIZIO DELL’ATTIVITA’</w:t>
      </w:r>
    </w:p>
    <w:p>
      <w:pPr>
        <w:pStyle w:val="Normal"/>
        <w:widowControl w:val="false"/>
        <w:spacing w:lineRule="auto" w:line="240" w:before="240" w:after="240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 xml:space="preserve">Requisiti morali: </w:t>
      </w:r>
      <w:r>
        <w:rPr>
          <w:rFonts w:eastAsia="Times New Roman" w:cs="Arial" w:ascii="Arial" w:hAnsi="Arial"/>
          <w:sz w:val="20"/>
          <w:szCs w:val="20"/>
          <w:lang w:eastAsia="it-IT"/>
        </w:rPr>
        <w:t>Costituiscono impedimento soggettivo all’esercizio dell’attività: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120" w:after="120"/>
        <w:ind w:left="720" w:right="567" w:hanging="36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l'applicazione delle misure di prevenzione di cui al libro I, titolo I (Foglio di via obbligatorio, Sorveglianza speciale, Divieto di soggiorno e Obbligo di soggiorno) e la condanna con sentenza definitiva per i delitti elencati nell’art. 51, c.3 bis del Codice di Procedura Penale, ad es. associazione di tipo mafioso, associazione finalizzata al traffico di stupefacenti, etc. (art. 67, D.lgs. n. 159/2011). In caso di impresa individuale, tali requisiti devono essere posseduti dal titolare; in caso di società/associazioni/organismi collettivi, da legale rappresentante e soggetti indicati dall’art. 85, c.1 e 2, D.lgs. n. 159/2011.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120" w:after="120"/>
        <w:ind w:left="720" w:right="567" w:hanging="360"/>
        <w:jc w:val="both"/>
        <w:rPr/>
      </w:pPr>
      <w:r>
        <w:rPr>
          <w:rFonts w:eastAsia="Times New Roman" w:cs="Arial" w:ascii="Arial" w:hAnsi="Arial"/>
          <w:sz w:val="20"/>
          <w:szCs w:val="20"/>
          <w:lang w:eastAsia="it-IT"/>
        </w:rPr>
        <w:t>la sussistenza delle condizioni previste dagli art. 11</w:t>
      </w:r>
      <w:r>
        <w:rPr>
          <w:rStyle w:val="FootnoteCharacters"/>
          <w:rStyle w:val="FootnoteAnchor"/>
          <w:rFonts w:eastAsia="Times New Roman" w:cs="Arial" w:ascii="Arial" w:hAnsi="Arial"/>
          <w:sz w:val="20"/>
          <w:szCs w:val="20"/>
          <w:lang w:eastAsia="it-IT"/>
        </w:rPr>
        <w:footnoteReference w:id="5"/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e 92</w:t>
      </w:r>
      <w:r>
        <w:rPr>
          <w:rStyle w:val="FootnoteCharacters"/>
          <w:rStyle w:val="FootnoteAnchor"/>
          <w:rFonts w:eastAsia="Times New Roman" w:cs="Arial" w:ascii="Arial" w:hAnsi="Arial"/>
          <w:sz w:val="20"/>
          <w:szCs w:val="20"/>
          <w:lang w:eastAsia="it-IT"/>
        </w:rPr>
        <w:footnoteReference w:id="6"/>
      </w:r>
      <w:r>
        <w:rPr>
          <w:rFonts w:eastAsia="Times New Roman" w:cs="Arial" w:ascii="Arial" w:hAnsi="Arial"/>
          <w:sz w:val="20"/>
          <w:szCs w:val="20"/>
          <w:lang w:eastAsia="it-IT"/>
        </w:rPr>
        <w:t>, TULPS (R.D. n. 773/1931).</w:t>
      </w:r>
    </w:p>
    <w:p>
      <w:pPr>
        <w:pStyle w:val="Normal"/>
        <w:widowControl w:val="false"/>
        <w:spacing w:lineRule="auto" w:line="240" w:before="240" w:after="240"/>
        <w:rPr>
          <w:rFonts w:ascii="Arial" w:hAnsi="Arial" w:eastAsia="Times New Roman" w:cs="Arial"/>
          <w:b/>
          <w:b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Requisiti oggettivi:</w:t>
      </w:r>
    </w:p>
    <w:p>
      <w:pPr>
        <w:pStyle w:val="Normal"/>
        <w:shd w:fill="FFFFFF" w:val="clear"/>
        <w:suppressAutoHyphens w:val="false"/>
        <w:spacing w:lineRule="auto" w:line="240" w:before="120" w:after="120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Conformità delle luminarie alle prescrizioni delle vigenti normative.</w:t>
      </w:r>
    </w:p>
    <w:p>
      <w:pPr>
        <w:pStyle w:val="Normal"/>
        <w:shd w:fill="FFFFFF" w:val="clear"/>
        <w:suppressAutoHyphens w:val="false"/>
        <w:spacing w:lineRule="auto" w:line="240" w:before="120" w:after="120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Rispetto norme sulla sicurezza nei luoghi di lavoro, di cui al D.lgs. n. 81/2006.</w:t>
      </w:r>
    </w:p>
    <w:p>
      <w:pPr>
        <w:pStyle w:val="Normal"/>
        <w:widowControl w:val="false"/>
        <w:shd w:fill="FFFFFF" w:val="clear"/>
        <w:spacing w:lineRule="auto" w:line="240" w:before="240" w:after="240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TEMPI SPECIFICI E CONTROLLI</w:t>
      </w:r>
    </w:p>
    <w:p>
      <w:pPr>
        <w:pStyle w:val="Normal"/>
        <w:suppressAutoHyphens w:val="false"/>
        <w:spacing w:lineRule="auto" w:line="240" w:before="120" w:after="12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L’attività oggetto di comunicazione </w:t>
      </w: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può essere iniziata dalla sua presentazione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>. In caso di comunicazione irregolare/incompleta, entro ..... giorni dal ricevimento, sono comunicate all'interessato le cause di irregolarità/incompletezza e il termine per l'integrazione prevedendosi, in difetto, l’archiviazione della comunicazione per improcedibilità.</w:t>
      </w:r>
    </w:p>
    <w:p>
      <w:pPr>
        <w:pStyle w:val="Normal"/>
        <w:shd w:fill="FFFFFF" w:val="clear"/>
        <w:suppressAutoHyphens w:val="false"/>
        <w:spacing w:lineRule="auto" w:line="240" w:before="120" w:after="120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Le dichiarazioni false/mendaci sono sanzionate ex artt. 71 e ss. del D.P.R. n. 445/2000.</w:t>
      </w:r>
    </w:p>
    <w:sectPr>
      <w:footerReference w:type="default" r:id="rId2"/>
      <w:footerReference w:type="first" r:id="rId3"/>
      <w:footnotePr>
        <w:numFmt w:val="decimal"/>
      </w:footnotePr>
      <w:type w:val="nextPage"/>
      <w:pgSz w:w="11906" w:h="16838"/>
      <w:pgMar w:left="1134" w:right="1134" w:header="0" w:top="1134" w:footer="34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pacing w:before="0" w:after="200"/>
      <w:jc w:val="right"/>
      <w:rPr/>
    </w:pPr>
    <w:bookmarkStart w:id="1" w:name="_Hlk479843000"/>
    <w:bookmarkEnd w:id="1"/>
    <w:r>
      <w:rPr>
        <w:rFonts w:eastAsia="Times" w:cs="Arial" w:ascii="Arial" w:hAnsi="Arial"/>
        <w:sz w:val="10"/>
        <w:szCs w:val="10"/>
      </w:rPr>
      <w:t xml:space="preserve">Pag. </w:t>
    </w:r>
    <w:r>
      <w:rPr>
        <w:rFonts w:eastAsia="Times"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  <w:r>
      <w:rPr>
        <w:rFonts w:eastAsia="Times"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0" w:type="dxa"/>
      <w:jc w:val="left"/>
      <w:tblInd w:w="0" w:type="dxa"/>
      <w:tblBorders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2"/>
      <w:gridCol w:w="7817"/>
    </w:tblGrid>
    <w:tr>
      <w:trPr>
        <w:trHeight w:val="142" w:hRule="atLeast"/>
      </w:trPr>
      <w:tc>
        <w:tcPr>
          <w:tcW w:w="711" w:type="dxa"/>
          <w:vMerge w:val="restart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uppressAutoHyphens w:val="false"/>
            <w:spacing w:lineRule="auto" w:line="240" w:before="0" w:after="0"/>
            <w:ind w:right="7370" w:hanging="0"/>
            <w:jc w:val="right"/>
            <w:rPr>
              <w:rFonts w:ascii="Arial" w:hAnsi="Arial" w:eastAsia="Times" w:cs="Arial"/>
              <w:sz w:val="14"/>
              <w:szCs w:val="14"/>
              <w:lang w:eastAsia="it-IT"/>
            </w:rPr>
          </w:pPr>
          <w:bookmarkStart w:id="2" w:name="_Hlk479842971"/>
          <w:bookmarkEnd w:id="2"/>
          <w:r>
            <w:rPr>
              <w:rFonts w:eastAsia="Times" w:cs="Times New Roman" w:ascii="Times" w:hAnsi="Times"/>
              <w:sz w:val="24"/>
              <w:szCs w:val="24"/>
              <w:lang w:val="en-US" w:eastAsia="en-US"/>
            </w:rPr>
            <w:drawing>
              <wp:inline distT="0" distB="0" distL="0" distR="0">
                <wp:extent cx="447675" cy="190500"/>
                <wp:effectExtent l="0" t="0" r="0" b="0"/>
                <wp:docPr id="1" name="Immagine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79" t="-188" r="874" b="-1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2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suppressAutoHyphens w:val="false"/>
            <w:spacing w:lineRule="auto" w:line="240" w:before="0" w:after="0"/>
            <w:jc w:val="center"/>
            <w:rPr>
              <w:rFonts w:ascii="Arial" w:hAnsi="Arial" w:eastAsia="Times" w:cs="Arial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sz w:val="10"/>
              <w:szCs w:val="10"/>
              <w:lang w:eastAsia="it-IT"/>
            </w:rPr>
            <w:t>Cod. 22216s.14.2.s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suppressAutoHyphens w:val="false"/>
            <w:snapToGrid w:val="false"/>
            <w:spacing w:lineRule="auto" w:line="240" w:before="0" w:after="0"/>
            <w:ind w:right="87" w:hanging="0"/>
            <w:rPr>
              <w:rFonts w:ascii="Arial" w:hAnsi="Arial" w:eastAsia="Times" w:cs="Arial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uppressAutoHyphens w:val="false"/>
            <w:snapToGrid w:val="false"/>
            <w:spacing w:lineRule="auto" w:line="240" w:before="0" w:after="0"/>
            <w:rPr>
              <w:rFonts w:ascii="Arial" w:hAnsi="Arial" w:eastAsia="Times" w:cs="Arial"/>
              <w:sz w:val="14"/>
              <w:szCs w:val="14"/>
              <w:lang w:eastAsia="it-IT"/>
            </w:rPr>
          </w:pPr>
          <w:r>
            <w:rPr>
              <w:rFonts w:eastAsia="Times" w:cs="Arial" w:ascii="Arial" w:hAnsi="Arial"/>
              <w:sz w:val="14"/>
              <w:szCs w:val="14"/>
              <w:lang w:eastAsia="it-IT"/>
            </w:rPr>
          </w:r>
        </w:p>
      </w:tc>
      <w:tc>
        <w:tcPr>
          <w:tcW w:w="119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uppressAutoHyphens w:val="false"/>
            <w:spacing w:lineRule="auto" w:line="240" w:before="0" w:after="0"/>
            <w:jc w:val="center"/>
            <w:rPr>
              <w:rFonts w:ascii="Arial" w:hAnsi="Arial" w:eastAsia="Times" w:cs="Arial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sz w:val="10"/>
              <w:szCs w:val="10"/>
              <w:lang w:eastAsia="it-IT"/>
            </w:rPr>
            <w:t>Grafiche E. Gaspari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suppressAutoHyphens w:val="false"/>
            <w:spacing w:lineRule="auto" w:line="240" w:before="0" w:after="0"/>
            <w:ind w:right="87" w:hanging="0"/>
            <w:jc w:val="right"/>
            <w:rPr>
              <w:rFonts w:ascii="Arial" w:hAnsi="Arial" w:eastAsia="Times" w:cs="Arial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" w:cs="Arial" w:ascii="Arial" w:hAnsi="Arial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 w:cs="Arial" w:ascii="Arial" w:hAnsi="Arial"/>
              <w:sz w:val="10"/>
              <w:szCs w:val="10"/>
              <w:lang w:eastAsia="it-IT"/>
            </w:rPr>
            <w:t xml:space="preserve"> di </w:t>
          </w:r>
          <w:r>
            <w:rPr>
              <w:rFonts w:eastAsia="Times" w:cs="Arial" w:ascii="Arial" w:hAnsi="Arial"/>
              <w:bCs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4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suppressAutoHyphens w:val="false"/>
      <w:spacing w:lineRule="auto" w:line="240" w:before="0" w:after="0"/>
      <w:rPr>
        <w:rFonts w:ascii="Times New Roman" w:hAnsi="Times New Roman" w:eastAsia="Times New Roman" w:cs="Times New Roman"/>
        <w:sz w:val="10"/>
        <w:szCs w:val="24"/>
        <w:lang w:eastAsia="it-IT"/>
      </w:rPr>
    </w:pPr>
    <w:r>
      <w:rPr>
        <w:rFonts w:eastAsia="Times New Roman" w:cs="Times New Roman" w:ascii="Times New Roman" w:hAnsi="Times New Roman"/>
        <w:sz w:val="10"/>
        <w:szCs w:val="24"/>
        <w:lang w:eastAsia="it-IT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>
          <w:rFonts w:ascii="Arial" w:hAnsi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footnoteRef/>
        <w:tab/>
        <w:t xml:space="preserve"> </w:t>
      </w:r>
      <w:r>
        <w:rPr>
          <w:rFonts w:cs="Arial" w:ascii="Arial" w:hAnsi="Arial"/>
          <w:sz w:val="16"/>
          <w:szCs w:val="16"/>
        </w:rPr>
        <w:t>L’installazione delle luminarie può essere richiesta anche da privati, quali committenti che si avvalgono di imprese autorizzate;</w:t>
      </w:r>
    </w:p>
  </w:footnote>
  <w:footnote w:id="3">
    <w:p>
      <w:pPr>
        <w:pStyle w:val="Footnote"/>
        <w:rPr/>
      </w:pPr>
      <w:r>
        <w:rPr>
          <w:sz w:val="16"/>
          <w:szCs w:val="16"/>
        </w:rPr>
        <w:footnoteRef/>
        <w:tab/>
        <w:t xml:space="preserve"> </w:t>
      </w:r>
      <w:r>
        <w:rPr>
          <w:rFonts w:cs="Arial" w:ascii="Arial" w:hAnsi="Arial"/>
          <w:sz w:val="16"/>
          <w:szCs w:val="16"/>
        </w:rPr>
        <w:t>Le istanze, segnalazioni o comunicazioni producono effetti anche in caso di mancato rilascio della ricevuta;</w:t>
      </w:r>
    </w:p>
  </w:footnote>
  <w:footnote w:id="4">
    <w:p>
      <w:pPr>
        <w:pStyle w:val="Footnote"/>
        <w:rPr/>
      </w:pPr>
      <w:r>
        <w:rPr>
          <w:sz w:val="16"/>
          <w:szCs w:val="16"/>
        </w:rPr>
        <w:footnoteRef/>
        <w:tab/>
        <w:t xml:space="preserve"> </w:t>
      </w:r>
      <w:r>
        <w:rPr>
          <w:rFonts w:cs="Arial" w:ascii="Arial" w:hAnsi="Arial"/>
          <w:sz w:val="16"/>
          <w:szCs w:val="16"/>
        </w:rPr>
        <w:t>In relazione alle specifiche tipologie di titolo abilitativo.</w:t>
      </w:r>
    </w:p>
  </w:footnote>
  <w:footnote w:id="5">
    <w:p>
      <w:pPr>
        <w:pStyle w:val="Normal"/>
        <w:spacing w:lineRule="auto" w:line="240" w:before="0" w:after="0"/>
        <w:jc w:val="both"/>
        <w:rPr/>
      </w:pPr>
      <w:r>
        <w:rPr>
          <w:rFonts w:eastAsia="Arial" w:cs="Arial" w:ascii="Arial" w:hAnsi="Arial"/>
          <w:sz w:val="16"/>
          <w:szCs w:val="16"/>
        </w:rPr>
        <w:footnoteRef/>
        <w:tab/>
        <w:t xml:space="preserve"> </w:t>
      </w:r>
      <w:r>
        <w:rPr>
          <w:rFonts w:cs="Arial" w:ascii="Arial" w:hAnsi="Arial"/>
          <w:sz w:val="16"/>
          <w:szCs w:val="16"/>
          <w:lang w:eastAsia="en-US"/>
        </w:rPr>
        <w:t xml:space="preserve">Art. 11 - </w:t>
      </w:r>
      <w:r>
        <w:rPr>
          <w:rFonts w:cs="Arial" w:ascii="Arial" w:hAnsi="Arial"/>
          <w:i/>
          <w:sz w:val="16"/>
          <w:szCs w:val="16"/>
          <w:lang w:eastAsia="en-US"/>
        </w:rPr>
        <w:t>Salve le condizioni particolari stabilite dalla legge nei singoli casi, le autorizzazioni di polizia debbono essere negate: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cs="Arial"/>
          <w:i/>
          <w:i/>
          <w:sz w:val="16"/>
          <w:szCs w:val="16"/>
          <w:lang w:eastAsia="en-US"/>
        </w:rPr>
      </w:pPr>
      <w:r>
        <w:rPr>
          <w:rFonts w:cs="Arial" w:ascii="Arial" w:hAnsi="Arial"/>
          <w:i/>
          <w:sz w:val="16"/>
          <w:szCs w:val="16"/>
          <w:lang w:eastAsia="en-US"/>
        </w:rPr>
        <w:tab/>
        <w:t>1 a chi ha riportato una condanna a pena restrittiva della libertà personale superiore a tre anni per delitto non colposo e non ha ottenuto la riabilitazione;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cs="Arial"/>
          <w:i/>
          <w:i/>
          <w:sz w:val="16"/>
          <w:szCs w:val="16"/>
          <w:lang w:eastAsia="en-US"/>
        </w:rPr>
      </w:pPr>
      <w:r>
        <w:rPr>
          <w:rFonts w:cs="Arial" w:ascii="Arial" w:hAnsi="Arial"/>
          <w:i/>
          <w:sz w:val="16"/>
          <w:szCs w:val="16"/>
          <w:lang w:eastAsia="en-US"/>
        </w:rPr>
        <w:tab/>
        <w:t xml:space="preserve">2 a chi è sottoposto all'ammonizione o a misura di sicurezza personale o è stato dichiarato delinquente abituale, professionale o per tendenza.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cs="Arial"/>
          <w:i/>
          <w:i/>
          <w:sz w:val="16"/>
          <w:szCs w:val="16"/>
          <w:lang w:eastAsia="en-US"/>
        </w:rPr>
      </w:pPr>
      <w:r>
        <w:rPr>
          <w:rFonts w:cs="Arial" w:ascii="Arial" w:hAnsi="Arial"/>
          <w:i/>
          <w:sz w:val="16"/>
          <w:szCs w:val="16"/>
          <w:lang w:eastAsia="en-US"/>
        </w:rPr>
        <w:tab/>
        <w:t xml:space="preserve">Le autorizzazioni di polizia possono essere negate a chi ha riportato condanna per delitti contro la personalità dello stato o contro l'ordine pubblico, ovvero per delitti contro le persone commessi con violenza, o per furto, rapina, estorsione, sequestro di persona a scopo di rapina o di estorsione, o per violenza o resistenza all'autorità, e a chi non può provare la sua buona condotta.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cs="Arial"/>
          <w:i/>
          <w:i/>
          <w:sz w:val="16"/>
          <w:szCs w:val="16"/>
          <w:lang w:eastAsia="en-US"/>
        </w:rPr>
      </w:pPr>
      <w:r>
        <w:rPr>
          <w:rFonts w:cs="Arial" w:ascii="Arial" w:hAnsi="Arial"/>
          <w:i/>
          <w:sz w:val="16"/>
          <w:szCs w:val="16"/>
          <w:lang w:eastAsia="en-US"/>
        </w:rPr>
        <w:tab/>
        <w:t>Le autorizzazioni devono essere revocate quando nella persona autorizzata vengono a mancare, in tutto o in parte, le condizioni alle quali sono subordinate, e possono essere revocate quando sopraggiungono o vengono a risultare circostanze che avrebbero imposto o consentito il diniego dell’autorizzazione;</w:t>
      </w:r>
    </w:p>
  </w:footnote>
  <w:footnote w:id="6">
    <w:p>
      <w:pPr>
        <w:pStyle w:val="Normal"/>
        <w:suppressAutoHyphens w:val="false"/>
        <w:autoSpaceDE w:val="false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6"/>
          <w:szCs w:val="16"/>
          <w:lang w:eastAsia="it-IT"/>
        </w:rPr>
      </w:pPr>
      <w:r>
        <w:rPr>
          <w:rFonts w:eastAsia="Arial" w:cs="Arial" w:ascii="Arial" w:hAnsi="Arial"/>
          <w:sz w:val="16"/>
          <w:szCs w:val="16"/>
        </w:rPr>
        <w:footnoteRef/>
        <w:tab/>
        <w:t xml:space="preserve"> </w:t>
      </w:r>
      <w:r>
        <w:rPr>
          <w:rFonts w:eastAsia="Times New Roman" w:cs="Arial" w:ascii="Arial" w:hAnsi="Arial"/>
          <w:i/>
          <w:sz w:val="16"/>
          <w:szCs w:val="16"/>
          <w:lang w:eastAsia="it-IT"/>
        </w:rPr>
        <w:t>Oltre a quanto è preveduto dall'</w:t>
      </w:r>
      <w:r>
        <w:rPr>
          <w:rFonts w:eastAsia="Times New Roman" w:cs="Arial" w:ascii="Arial" w:hAnsi="Arial"/>
          <w:i/>
          <w:iCs/>
          <w:sz w:val="16"/>
          <w:szCs w:val="16"/>
          <w:lang w:eastAsia="it-IT"/>
        </w:rPr>
        <w:t xml:space="preserve">art. 11, </w:t>
      </w:r>
      <w:r>
        <w:rPr>
          <w:rFonts w:eastAsia="Times New Roman" w:cs="Arial" w:ascii="Arial" w:hAnsi="Arial"/>
          <w:i/>
          <w:sz w:val="16"/>
          <w:szCs w:val="16"/>
          <w:lang w:eastAsia="it-IT"/>
        </w:rPr>
        <w:t>la licenza di esercizio pubblico e l'autorizzazione di cui all'art. 89 non possono essere date a chi sia stato condannato per reati contro la moralità pubblica e il buon costume, o contro la sanità pubblica o per giuochi d'azzardo, o</w:t>
      </w:r>
      <w:r>
        <w:rPr>
          <w:rFonts w:eastAsia="Times New Roman" w:cs="Arial" w:ascii="Arial" w:hAnsi="Arial"/>
          <w:sz w:val="16"/>
          <w:szCs w:val="16"/>
          <w:lang w:eastAsia="it-IT"/>
        </w:rPr>
        <w:t xml:space="preserve"> </w:t>
      </w:r>
      <w:r>
        <w:rPr>
          <w:rFonts w:eastAsia="Times New Roman" w:cs="Arial" w:ascii="Arial" w:hAnsi="Arial"/>
          <w:i/>
          <w:sz w:val="16"/>
          <w:szCs w:val="16"/>
          <w:lang w:eastAsia="it-IT"/>
        </w:rPr>
        <w:t>per delitti commessi in istato di ubriachezza o per contravvenzioni concernenti la prevenzione dell'alcoolismo, o per infrazioni alla legge sul lotto, o per abuso di sostanze stupefacenti.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  <w:szCs w:val="20"/>
        <w:rFonts w:cs="Symbol"/>
        <w:lang w:eastAsia="it-I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rFonts w:cs="Symbol"/>
        <w:lang w:eastAsia="it-I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  <w:szCs w:val="20"/>
        <w:rFonts w:cs="Symbol"/>
        <w:lang w:eastAsia="it-I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rFonts w:cs="Symbol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rFonts w:cs="Symbol"/>
        <w:lang w:eastAsia="it-I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  <w:szCs w:val="20"/>
        <w:rFonts w:cs="Symbol"/>
        <w:lang w:eastAsia="it-I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compat>
    <w:doNotExpandShiftReturn/>
  </w:compat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Calibri"/>
      <w:color w:val="auto"/>
      <w:sz w:val="22"/>
      <w:szCs w:val="22"/>
      <w:lang w:val="it-IT" w:bidi="ar-SA" w:eastAsia="zh-CN"/>
    </w:rPr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>
      <w:rFonts w:ascii="Wingdings" w:hAnsi="Wingdings" w:cs="Wingdings"/>
      <w:sz w:val="20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eastAsia="Times New Roman" w:cs="Symbol"/>
      <w:sz w:val="20"/>
      <w:szCs w:val="20"/>
      <w:lang w:eastAsia="it-IT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  <w:sz w:val="20"/>
    </w:rPr>
  </w:style>
  <w:style w:type="character" w:styleId="WW8Num4z1">
    <w:name w:val="WW8Num4z1"/>
    <w:qFormat/>
    <w:rPr>
      <w:rFonts w:ascii="Courier New" w:hAnsi="Courier New" w:cs="Courier New"/>
      <w:sz w:val="20"/>
    </w:rPr>
  </w:style>
  <w:style w:type="character" w:styleId="WW8Num4z2">
    <w:name w:val="WW8Num4z2"/>
    <w:qFormat/>
    <w:rPr>
      <w:rFonts w:ascii="Wingdings" w:hAnsi="Wingdings" w:cs="Wingdings"/>
      <w:sz w:val="20"/>
    </w:rPr>
  </w:style>
  <w:style w:type="character" w:styleId="WW8Num5z0">
    <w:name w:val="WW8Num5z0"/>
    <w:qFormat/>
    <w:rPr>
      <w:rFonts w:ascii="Arial" w:hAnsi="Arial" w:eastAsia="Times New Roman" w:cs="Arial"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  <w:sz w:val="24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eastAsia="Times New Roman" w:cs="Symbol"/>
      <w:sz w:val="20"/>
      <w:szCs w:val="20"/>
      <w:lang w:eastAsia="it-IT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eastAsia="Times New Roman" w:cs="Symbol"/>
      <w:sz w:val="20"/>
      <w:szCs w:val="20"/>
      <w:lang w:eastAsia="it-IT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eastAsia="Times New Roman" w:cs="Symbol"/>
      <w:sz w:val="20"/>
      <w:szCs w:val="20"/>
      <w:lang w:eastAsia="it-IT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  <w:sz w:val="20"/>
    </w:rPr>
  </w:style>
  <w:style w:type="character" w:styleId="WW8Num14z1">
    <w:name w:val="WW8Num14z1"/>
    <w:qFormat/>
    <w:rPr>
      <w:rFonts w:ascii="Courier New" w:hAnsi="Courier New" w:cs="Courier New"/>
      <w:sz w:val="20"/>
    </w:rPr>
  </w:style>
  <w:style w:type="character" w:styleId="WW8Num14z2">
    <w:name w:val="WW8Num14z2"/>
    <w:qFormat/>
    <w:rPr>
      <w:rFonts w:ascii="Wingdings" w:hAnsi="Wingdings" w:cs="Wingdings"/>
      <w:sz w:val="20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  <w:color w:val="000000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Arial" w:hAnsi="Arial" w:eastAsia="Times New Roman" w:cs="Aria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>
      <w:rFonts w:ascii="Symbol" w:hAnsi="Symbol" w:cs="Symbol"/>
      <w:sz w:val="20"/>
    </w:rPr>
  </w:style>
  <w:style w:type="character" w:styleId="WW8Num20z1">
    <w:name w:val="WW8Num20z1"/>
    <w:qFormat/>
    <w:rPr>
      <w:rFonts w:ascii="Courier New" w:hAnsi="Courier New" w:cs="Courier New"/>
      <w:sz w:val="20"/>
    </w:rPr>
  </w:style>
  <w:style w:type="character" w:styleId="WW8Num20z2">
    <w:name w:val="WW8Num20z2"/>
    <w:qFormat/>
    <w:rPr>
      <w:rFonts w:ascii="Wingdings" w:hAnsi="Wingdings" w:cs="Wingdings"/>
      <w:sz w:val="20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>
      <w:rFonts w:ascii="Wingdings" w:hAnsi="Wingdings" w:cs="Wingdings"/>
      <w:b w:val="false"/>
      <w:i w:val="false"/>
      <w:color w:val="000000"/>
      <w:sz w:val="24"/>
      <w:szCs w:val="24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2z4">
    <w:name w:val="WW8Num22z4"/>
    <w:qFormat/>
    <w:rPr>
      <w:rFonts w:ascii="Courier New" w:hAnsi="Courier New" w:cs="Courier New"/>
    </w:rPr>
  </w:style>
  <w:style w:type="character" w:styleId="WW8Num23z0">
    <w:name w:val="WW8Num23z0"/>
    <w:qFormat/>
    <w:rPr>
      <w:rFonts w:ascii="Symbol" w:hAnsi="Symbol" w:eastAsia="Times New Roman" w:cs="Symbol"/>
      <w:sz w:val="20"/>
      <w:szCs w:val="20"/>
      <w:lang w:eastAsia="it-IT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>
      <w:b/>
      <w:sz w:val="18"/>
      <w:szCs w:val="18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Carpredefinitoparagrafo">
    <w:name w:val="Car. predefinito paragraf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Caratterepredefinitoparagrafo">
    <w:name w:val="Carattere predefinito paragrafo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Carpredefinitoparagrafo1">
    <w:name w:val="Car. predefinito paragrafo1"/>
    <w:qFormat/>
    <w:rPr/>
  </w:style>
  <w:style w:type="character" w:styleId="TestonotaapidipaginaCarattere">
    <w:name w:val="Testo nota a piè di pagina Carattere"/>
    <w:basedOn w:val="Carpredefinitoparagrafo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PidipaginaCarattere">
    <w:name w:val="Piè di pagina Carattere"/>
    <w:qFormat/>
    <w:rPr>
      <w:rFonts w:ascii="Calibri" w:hAnsi="Calibri" w:eastAsia="Calibri" w:cs="Calibri"/>
      <w:sz w:val="22"/>
      <w:szCs w:val="22"/>
    </w:rPr>
  </w:style>
  <w:style w:type="character" w:styleId="InternetLink">
    <w:name w:val="Internet Link"/>
    <w:rPr>
      <w:strike w:val="false"/>
      <w:dstrike w:val="false"/>
      <w:color w:val="0000FF"/>
      <w:u w:val="none"/>
    </w:rPr>
  </w:style>
  <w:style w:type="character" w:styleId="TestonotadichiusuraCarattere">
    <w:name w:val="Testo nota di chiusura Carattere"/>
    <w:qFormat/>
    <w:rPr>
      <w:rFonts w:ascii="Calibri" w:hAnsi="Calibri" w:eastAsia="Calibri" w:cs="Calibri"/>
    </w:rPr>
  </w:style>
  <w:style w:type="character" w:styleId="EndnoteCharacters">
    <w:name w:val="Endnote Characters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Intestazione1">
    <w:name w:val="Intestazione1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Header">
    <w:name w:val="Header"/>
    <w:basedOn w:val="Normal"/>
    <w:next w:val="TextBody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Footnote">
    <w:name w:val="Footnote Text"/>
    <w:basedOn w:val="Normal"/>
    <w:pPr>
      <w:suppressAutoHyphens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NormaleWeb">
    <w:name w:val="Normale (Web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uppressAutoHyphens w:val="false"/>
      <w:spacing w:before="0" w:after="200"/>
      <w:ind w:left="720" w:hanging="0"/>
      <w:contextualSpacing/>
    </w:pPr>
    <w:rPr>
      <w:rFonts w:cs="Times New Roman"/>
    </w:rPr>
  </w:style>
  <w:style w:type="paragraph" w:styleId="Endnote">
    <w:name w:val="Endnote Text"/>
    <w:basedOn w:val="Normal"/>
    <w:pPr/>
    <w:rPr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2017-10-05T10:19:00Z</dcterms:created>
  <dc:creator>Grafiche E.Gaspari S.r.l.</dc:creator>
  <dc:description/>
  <dc:language>en-US</dc:language>
  <cp:lastModifiedBy>Andrea Piredda</cp:lastModifiedBy>
  <cp:lastPrinted>2112-12-31T23:00:00Z</cp:lastPrinted>
  <dcterms:modified xsi:type="dcterms:W3CDTF">2017-10-05T10:42:00Z</dcterms:modified>
  <cp:revision>3</cp:revision>
  <dc:subject/>
  <dc:title/>
</cp:coreProperties>
</file>